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C448E" w:rsidRPr="001C448E" w:rsidRDefault="0064141C" w:rsidP="0064141C">
      <w:pPr>
        <w:jc w:val="center"/>
        <w:rPr>
          <w:b/>
          <w:sz w:val="28"/>
          <w:szCs w:val="28"/>
          <w:u w:val="single"/>
        </w:rPr>
      </w:pPr>
      <w:r>
        <w:rPr>
          <w:b/>
          <w:sz w:val="28"/>
          <w:szCs w:val="28"/>
        </w:rPr>
        <w:t>CONTENIDO CONSULTA 1 DEL ICAC - 2017</w:t>
      </w:r>
    </w:p>
    <w:p w:rsidR="004A754A" w:rsidRPr="004A754A" w:rsidRDefault="004A754A" w:rsidP="004A754A">
      <w:pPr>
        <w:jc w:val="both"/>
        <w:rPr>
          <w:b/>
          <w:sz w:val="24"/>
          <w:u w:val="single"/>
        </w:rPr>
      </w:pPr>
      <w:r w:rsidRPr="004A754A">
        <w:rPr>
          <w:b/>
          <w:sz w:val="24"/>
          <w:u w:val="single"/>
        </w:rPr>
        <w:t>Tratamiento contable de las modificaciones en el régimen fiscal de las pérdidas por deterioro de los valores representativos de la participación en el capital o en los fondos propios de entidades, aprobadas por el Real Decreto-ley 3/2016, de 2 de diciembre.</w:t>
      </w:r>
    </w:p>
    <w:p w:rsidR="007E1354" w:rsidRDefault="0064141C" w:rsidP="006518C4">
      <w:pPr>
        <w:jc w:val="both"/>
      </w:pPr>
      <w:r>
        <w:t>El ICAC ha emitido una consulta para aclarar el efecto contable que tiene la medida fiscal de reversión de deterioro de valores representativos de participación en el capital o fondos propios de entidades, que deben integrarse en la base imponible fiscal, como mínimo, de forma lineal durante 5 años.</w:t>
      </w:r>
    </w:p>
    <w:p w:rsidR="0064141C" w:rsidRDefault="0064141C" w:rsidP="00FA533B">
      <w:r>
        <w:t>La consulta resuelve 3 aspectos fundamentales:</w:t>
      </w:r>
    </w:p>
    <w:p w:rsidR="0064141C" w:rsidRDefault="0064141C" w:rsidP="0064141C">
      <w:pPr>
        <w:pStyle w:val="Prrafodelista"/>
        <w:numPr>
          <w:ilvl w:val="0"/>
          <w:numId w:val="20"/>
        </w:numPr>
        <w:rPr>
          <w:b/>
        </w:rPr>
      </w:pPr>
      <w:r w:rsidRPr="00CC6594">
        <w:rPr>
          <w:b/>
        </w:rPr>
        <w:t>Posible reconocimiento de un pasivo fiscal por la reversión automática del deterioro a integrar en la base imponible en los próximos 4 ejercicios.</w:t>
      </w:r>
    </w:p>
    <w:p w:rsidR="00CC6594" w:rsidRDefault="00CC6594" w:rsidP="00CC6594">
      <w:pPr>
        <w:pStyle w:val="Prrafodelista"/>
        <w:ind w:left="360"/>
      </w:pPr>
    </w:p>
    <w:p w:rsidR="00CC6594" w:rsidRDefault="00C47387" w:rsidP="00CC6594">
      <w:pPr>
        <w:pStyle w:val="Prrafodelista"/>
        <w:ind w:left="360"/>
      </w:pPr>
      <w:r>
        <w:t>El ICAC analiza si se debe</w:t>
      </w:r>
      <w:r w:rsidR="00CC6594">
        <w:t xml:space="preserve"> registrar en el ejercicio 2016 un pasivo diferido por la tributación que </w:t>
      </w:r>
      <w:r w:rsidR="002C0112">
        <w:t>se va a soportar</w:t>
      </w:r>
      <w:r w:rsidR="00CC6594">
        <w:t xml:space="preserve"> durante los próximos 4 años debido a la reversión mínima</w:t>
      </w:r>
      <w:r w:rsidR="002D6678">
        <w:t xml:space="preserve"> obligatoria</w:t>
      </w:r>
      <w:r w:rsidR="00CC6594">
        <w:t>.</w:t>
      </w:r>
    </w:p>
    <w:p w:rsidR="00CC6594" w:rsidRDefault="00C47387" w:rsidP="00CC6594">
      <w:pPr>
        <w:pStyle w:val="Prrafodelista"/>
        <w:ind w:left="360"/>
        <w:rPr>
          <w:b/>
        </w:rPr>
      </w:pPr>
      <w:r>
        <w:t>A través de la</w:t>
      </w:r>
      <w:r w:rsidR="00CC6594">
        <w:t xml:space="preserve"> consulta establece que el tratamiento contable que deberá darse a esta reversión es el de diferencia permanente y, por tanto, </w:t>
      </w:r>
      <w:r w:rsidR="00CC6594" w:rsidRPr="002C0112">
        <w:rPr>
          <w:u w:val="single"/>
        </w:rPr>
        <w:t>no habrá que reconocer ningún pasivo diferido.</w:t>
      </w:r>
    </w:p>
    <w:p w:rsidR="00CC6594" w:rsidRDefault="00CC6594" w:rsidP="00CC6594">
      <w:pPr>
        <w:pStyle w:val="Prrafodelista"/>
        <w:ind w:left="360"/>
      </w:pPr>
      <w:r w:rsidRPr="002C0112">
        <w:t>Es decir, el impacto en pérdidas y ganancias se producir</w:t>
      </w:r>
      <w:r w:rsidR="002C0112">
        <w:t xml:space="preserve">á </w:t>
      </w:r>
      <w:r w:rsidR="00C47387">
        <w:t>ejercicio a ejercicio</w:t>
      </w:r>
      <w:r w:rsidR="002C0112">
        <w:t xml:space="preserve">, considerando </w:t>
      </w:r>
      <w:r w:rsidRPr="002C0112">
        <w:t xml:space="preserve">la quinta parte del deterioro fiscal a revertir como un ajuste positivo en la base imponible </w:t>
      </w:r>
      <w:r w:rsidR="002C0112">
        <w:t>de cada</w:t>
      </w:r>
      <w:r w:rsidRPr="002C0112">
        <w:t xml:space="preserve"> periodo impositivo, circunstancia que tendrá su correspondiente efecto en la imposición corriente </w:t>
      </w:r>
      <w:r w:rsidR="002C0112" w:rsidRPr="002C0112">
        <w:t xml:space="preserve">(mayor importe en el </w:t>
      </w:r>
      <w:r w:rsidR="006518C4">
        <w:t>gasto de impuesto corriente [</w:t>
      </w:r>
      <w:r w:rsidR="002C0112" w:rsidRPr="002C0112">
        <w:t>630</w:t>
      </w:r>
      <w:r w:rsidR="006518C4">
        <w:t>])</w:t>
      </w:r>
      <w:r w:rsidR="002C0112" w:rsidRPr="002C0112">
        <w:t>.</w:t>
      </w:r>
    </w:p>
    <w:p w:rsidR="00A6261B" w:rsidRDefault="00A6261B" w:rsidP="00A6261B">
      <w:pPr>
        <w:pStyle w:val="Prrafodelista"/>
        <w:ind w:left="360"/>
        <w:rPr>
          <w:rFonts w:eastAsia="Times New Roman"/>
        </w:rPr>
      </w:pPr>
      <w:r>
        <w:t xml:space="preserve">El ICAC hace una pequeña salvedad: </w:t>
      </w:r>
      <w:r>
        <w:rPr>
          <w:rFonts w:eastAsia="Times New Roman"/>
        </w:rPr>
        <w:t>Que la empresa hubiera deducido fiscalmente este deteri</w:t>
      </w:r>
      <w:r w:rsidR="00664372">
        <w:rPr>
          <w:rFonts w:eastAsia="Times New Roman"/>
        </w:rPr>
        <w:t>oro sin haberlo contabilizado:</w:t>
      </w:r>
      <w:r>
        <w:rPr>
          <w:rFonts w:eastAsia="Times New Roman"/>
        </w:rPr>
        <w:t xml:space="preserve"> en este caso sí que hay que reconocer el pasivo por impuesto diferido con fecha anterior a la reforma para ir reduciéndolo en los próximos ejercicios</w:t>
      </w:r>
      <w:r w:rsidR="00664372">
        <w:rPr>
          <w:rFonts w:eastAsia="Times New Roman"/>
        </w:rPr>
        <w:t xml:space="preserve"> con la reversión que se vaya realizando</w:t>
      </w:r>
      <w:r>
        <w:rPr>
          <w:rFonts w:eastAsia="Times New Roman"/>
        </w:rPr>
        <w:t>.</w:t>
      </w:r>
    </w:p>
    <w:p w:rsidR="002D6678" w:rsidRDefault="002D6678" w:rsidP="00A6261B">
      <w:pPr>
        <w:pStyle w:val="Prrafodelista"/>
        <w:ind w:left="360"/>
        <w:rPr>
          <w:rFonts w:eastAsia="Times New Roman"/>
        </w:rPr>
      </w:pPr>
    </w:p>
    <w:p w:rsidR="002D6678" w:rsidRDefault="002D6678" w:rsidP="00A6261B">
      <w:pPr>
        <w:pStyle w:val="Prrafodelista"/>
        <w:ind w:left="360"/>
        <w:rPr>
          <w:rFonts w:eastAsia="Times New Roman" w:cs="Times New Roman"/>
        </w:rPr>
      </w:pPr>
      <w:r>
        <w:rPr>
          <w:rFonts w:eastAsia="Times New Roman"/>
        </w:rPr>
        <w:t>No obstante, en la memoria se deberá informar del efecto de esta situación en la carga fiscal futura.</w:t>
      </w:r>
    </w:p>
    <w:p w:rsidR="00A6261B" w:rsidRPr="002C0112" w:rsidRDefault="00A6261B" w:rsidP="00CC6594">
      <w:pPr>
        <w:pStyle w:val="Prrafodelista"/>
        <w:ind w:left="360"/>
      </w:pPr>
    </w:p>
    <w:p w:rsidR="00CC6594" w:rsidRDefault="00CC6594" w:rsidP="00CC6594">
      <w:pPr>
        <w:pStyle w:val="Prrafodelista"/>
        <w:ind w:left="360"/>
      </w:pPr>
    </w:p>
    <w:p w:rsidR="0064141C" w:rsidRDefault="0064141C" w:rsidP="0064141C">
      <w:pPr>
        <w:pStyle w:val="Prrafodelista"/>
        <w:numPr>
          <w:ilvl w:val="0"/>
          <w:numId w:val="20"/>
        </w:numPr>
        <w:rPr>
          <w:b/>
        </w:rPr>
      </w:pPr>
      <w:r w:rsidRPr="002C0112">
        <w:rPr>
          <w:b/>
        </w:rPr>
        <w:t>Tratamiento contable en una empresa que espera recuperar el valor en libros de la inversión por medio de la extinci</w:t>
      </w:r>
      <w:r w:rsidR="00CC6594" w:rsidRPr="002C0112">
        <w:rPr>
          <w:b/>
        </w:rPr>
        <w:t>ón de la sociedad participada (único caso en que la pérdida es deducible).</w:t>
      </w:r>
    </w:p>
    <w:p w:rsidR="002C0112" w:rsidRDefault="002C0112" w:rsidP="002C0112">
      <w:pPr>
        <w:pStyle w:val="Prrafodelista"/>
        <w:ind w:left="360"/>
      </w:pPr>
    </w:p>
    <w:p w:rsidR="002C0112" w:rsidRDefault="002F45FA" w:rsidP="002C0112">
      <w:pPr>
        <w:pStyle w:val="Prrafodelista"/>
        <w:ind w:left="360"/>
      </w:pPr>
      <w:r>
        <w:t>Lo</w:t>
      </w:r>
      <w:r w:rsidR="00C47387">
        <w:t xml:space="preserve"> que aclara</w:t>
      </w:r>
      <w:r w:rsidR="002C0112">
        <w:t xml:space="preserve"> el ICAC es qué efecto debo registrar en la contabilidad en el caso de que se espere la extinción de la sociedad participada.</w:t>
      </w:r>
    </w:p>
    <w:p w:rsidR="002C0112" w:rsidRDefault="002C0112" w:rsidP="002C0112">
      <w:pPr>
        <w:pStyle w:val="Prrafodelista"/>
        <w:ind w:left="360"/>
      </w:pPr>
      <w:r>
        <w:t xml:space="preserve">Recordemos que el Impuesto de Sociedades sólo admite la deducibilidad en las pérdidas por participación en otras entidades en caso de que la sociedad participada se extinga. </w:t>
      </w:r>
    </w:p>
    <w:p w:rsidR="002C0112" w:rsidRDefault="002C0112" w:rsidP="002C0112">
      <w:pPr>
        <w:pStyle w:val="Prrafodelista"/>
        <w:ind w:left="360"/>
      </w:pPr>
      <w:r>
        <w:t xml:space="preserve">Por tanto, </w:t>
      </w:r>
      <w:r w:rsidR="00C47387">
        <w:t xml:space="preserve">si nos encontramos en esta situación, </w:t>
      </w:r>
      <w:r>
        <w:t>la reversión que estoy integrando en la base fiscal sí que generaría un efecto temporario, ya que se aumenta la base fiscal (valor fiscal del activo), importe que recuperaría en el momento de la extinción.</w:t>
      </w:r>
    </w:p>
    <w:p w:rsidR="00147B37" w:rsidRPr="00147B37" w:rsidRDefault="00147B37" w:rsidP="002C0112">
      <w:pPr>
        <w:pStyle w:val="Prrafodelista"/>
        <w:ind w:left="360"/>
        <w:rPr>
          <w:b/>
        </w:rPr>
      </w:pPr>
      <w:bookmarkStart w:id="0" w:name="_GoBack"/>
      <w:bookmarkEnd w:id="0"/>
      <w:r w:rsidRPr="00147B37">
        <w:rPr>
          <w:b/>
        </w:rPr>
        <w:lastRenderedPageBreak/>
        <w:t>Ejemplo.</w:t>
      </w:r>
    </w:p>
    <w:p w:rsidR="002D6678" w:rsidRDefault="00147B37" w:rsidP="00147B37">
      <w:pPr>
        <w:pStyle w:val="Prrafodelista"/>
        <w:ind w:left="360"/>
      </w:pPr>
      <w:r>
        <w:t>2010</w:t>
      </w:r>
      <w:r w:rsidR="00C47387">
        <w:t>: adquisición de participación en la empresa X. Valor de adquisición: 200.000 €.</w:t>
      </w:r>
      <w:r>
        <w:t xml:space="preserve"> </w:t>
      </w:r>
    </w:p>
    <w:p w:rsidR="002C0112" w:rsidRDefault="00147B37" w:rsidP="00147B37">
      <w:pPr>
        <w:pStyle w:val="Prrafodelista"/>
        <w:ind w:left="360"/>
      </w:pPr>
      <w:r>
        <w:t>2012</w:t>
      </w:r>
      <w:r w:rsidR="00C47387">
        <w:t>:</w:t>
      </w:r>
      <w:r w:rsidR="002C0112">
        <w:t xml:space="preserve"> dotamos un deterioro de 50.000</w:t>
      </w:r>
      <w:r w:rsidR="002D6678">
        <w:t>€ (deducible</w:t>
      </w:r>
      <w:r w:rsidR="00C47387">
        <w:t xml:space="preserve"> fiscalmente). Valor fiscal de las participaciones = 150.000€.</w:t>
      </w:r>
      <w:r w:rsidR="002C0112">
        <w:t xml:space="preserve"> </w:t>
      </w:r>
    </w:p>
    <w:p w:rsidR="00C47387" w:rsidRDefault="00C47387" w:rsidP="00C47387">
      <w:pPr>
        <w:pStyle w:val="Prrafodelista"/>
        <w:ind w:left="360"/>
      </w:pPr>
      <w:r>
        <w:t>La entidad participada se encuentra en proceso de disolución y estimamos que durante el 2017 se va a extinguir.</w:t>
      </w:r>
    </w:p>
    <w:p w:rsidR="00147B37" w:rsidRDefault="00147B37" w:rsidP="002C0112">
      <w:pPr>
        <w:pStyle w:val="Prrafodelista"/>
        <w:ind w:left="360"/>
      </w:pPr>
    </w:p>
    <w:p w:rsidR="00147B37" w:rsidRDefault="00147B37" w:rsidP="002C0112">
      <w:pPr>
        <w:pStyle w:val="Prrafodelista"/>
        <w:ind w:left="360"/>
      </w:pPr>
      <w:r>
        <w:t>Con la normativa actual, debería revertir este deterioro en la base imponible de forma lineal durante los ejercicios 2016, 2017, 2018, 2019 y 2020, a raíz de 10.000,00 cada ejercicio.</w:t>
      </w:r>
    </w:p>
    <w:p w:rsidR="00147B37" w:rsidRDefault="00147B37" w:rsidP="002C0112">
      <w:pPr>
        <w:pStyle w:val="Prrafodelista"/>
        <w:ind w:left="360"/>
      </w:pPr>
    </w:p>
    <w:p w:rsidR="00147B37" w:rsidRDefault="00147B37" w:rsidP="002D6678">
      <w:pPr>
        <w:pStyle w:val="Prrafodelista"/>
        <w:spacing w:before="240"/>
        <w:ind w:left="360"/>
      </w:pPr>
      <w:r>
        <w:t>¿Qué tratamiento contable debería darle en el 2016?</w:t>
      </w:r>
    </w:p>
    <w:p w:rsidR="006518C4" w:rsidRDefault="00147B37" w:rsidP="006518C4">
      <w:pPr>
        <w:pStyle w:val="Prrafodelista"/>
        <w:ind w:left="360"/>
      </w:pPr>
      <w:r>
        <w:t xml:space="preserve"> Como la pérdida del valor de la</w:t>
      </w:r>
      <w:r w:rsidR="006518C4">
        <w:t>s participaciones será</w:t>
      </w:r>
      <w:r>
        <w:t xml:space="preserve"> deducible en el momento de la disolución, lo que estamos haciendo al revertir el deterioro es aumentar el valor fiscal del activo en el importe de dicha reversión, por tanto, impl</w:t>
      </w:r>
      <w:r w:rsidR="006518C4">
        <w:t>ica el reconocimiento</w:t>
      </w:r>
      <w:r>
        <w:t xml:space="preserve"> de un activo </w:t>
      </w:r>
      <w:r w:rsidR="006518C4">
        <w:t>temporario. Y por tanto, el asiento a realizar sería:</w:t>
      </w:r>
    </w:p>
    <w:p w:rsidR="006518C4" w:rsidRDefault="006518C4" w:rsidP="006518C4">
      <w:pPr>
        <w:pStyle w:val="Prrafodelista"/>
        <w:ind w:left="360"/>
      </w:pPr>
    </w:p>
    <w:p w:rsidR="006518C4" w:rsidRDefault="006518C4" w:rsidP="006518C4">
      <w:pPr>
        <w:pStyle w:val="Prrafodelista"/>
        <w:ind w:left="360"/>
      </w:pPr>
      <w:r>
        <w:t>10.000 (474) activos por impuesto diferido    a</w:t>
      </w:r>
    </w:p>
    <w:p w:rsidR="006518C4" w:rsidRDefault="002D6678" w:rsidP="006518C4">
      <w:pPr>
        <w:pStyle w:val="Prrafodelista"/>
        <w:ind w:left="360"/>
        <w:jc w:val="right"/>
      </w:pPr>
      <w:r>
        <w:t>(6301) impuesto diferido 10.000</w:t>
      </w:r>
    </w:p>
    <w:p w:rsidR="006518C4" w:rsidRDefault="006518C4" w:rsidP="006518C4">
      <w:pPr>
        <w:pStyle w:val="Prrafodelista"/>
        <w:ind w:left="360"/>
        <w:jc w:val="right"/>
      </w:pPr>
    </w:p>
    <w:p w:rsidR="006518C4" w:rsidRDefault="006518C4" w:rsidP="006518C4">
      <w:pPr>
        <w:pStyle w:val="Prrafodelista"/>
        <w:ind w:left="360"/>
      </w:pPr>
    </w:p>
    <w:p w:rsidR="002C0112" w:rsidRPr="002C0112" w:rsidRDefault="002C0112" w:rsidP="002C0112">
      <w:pPr>
        <w:pStyle w:val="Prrafodelista"/>
        <w:ind w:left="360"/>
      </w:pPr>
    </w:p>
    <w:p w:rsidR="00CC6594" w:rsidRDefault="00CC6594" w:rsidP="00CC6594">
      <w:pPr>
        <w:pStyle w:val="Prrafodelista"/>
        <w:ind w:left="360"/>
      </w:pPr>
    </w:p>
    <w:p w:rsidR="0064141C" w:rsidRDefault="0064141C" w:rsidP="0064141C">
      <w:pPr>
        <w:pStyle w:val="Prrafodelista"/>
        <w:numPr>
          <w:ilvl w:val="0"/>
          <w:numId w:val="20"/>
        </w:numPr>
        <w:rPr>
          <w:b/>
        </w:rPr>
      </w:pPr>
      <w:r w:rsidRPr="006518C4">
        <w:rPr>
          <w:b/>
        </w:rPr>
        <w:t>Qué hacer con los activos por impuesto diferido (créditos fiscales) reconocidos con posterioridad al 1-1-2013</w:t>
      </w:r>
      <w:r w:rsidR="00CC6594" w:rsidRPr="006518C4">
        <w:rPr>
          <w:b/>
        </w:rPr>
        <w:t>, derivados de los deterioros contabilizados.</w:t>
      </w:r>
    </w:p>
    <w:p w:rsidR="006518C4" w:rsidRDefault="006518C4" w:rsidP="006518C4">
      <w:pPr>
        <w:pStyle w:val="Prrafodelista"/>
        <w:ind w:left="360"/>
      </w:pPr>
    </w:p>
    <w:p w:rsidR="006518C4" w:rsidRDefault="006518C4" w:rsidP="006518C4">
      <w:pPr>
        <w:pStyle w:val="Prrafodelista"/>
        <w:ind w:left="360"/>
      </w:pPr>
      <w:r>
        <w:t xml:space="preserve">Con posterioridad al 1-1-2013, los deterioros de valor de las participaciones dejaron de ser deducibles, pero </w:t>
      </w:r>
      <w:r w:rsidR="00C47387">
        <w:t>se mantuvo la deducibilidad de</w:t>
      </w:r>
      <w:r>
        <w:t xml:space="preserve"> las pérdidas en la enajenación de dichos activos, por tanto, cuando deteriorábamos el valor de las participaciones, reconocíamos un crédito fiscal </w:t>
      </w:r>
      <w:r w:rsidR="002F45FA">
        <w:t>debido al efecto temporario que tendrían</w:t>
      </w:r>
      <w:r>
        <w:t xml:space="preserve"> en el momento futuro de baja del activo del balance.</w:t>
      </w:r>
    </w:p>
    <w:p w:rsidR="006518C4" w:rsidRDefault="006518C4" w:rsidP="006518C4">
      <w:pPr>
        <w:pStyle w:val="Prrafodelista"/>
        <w:ind w:left="360"/>
      </w:pPr>
    </w:p>
    <w:p w:rsidR="006518C4" w:rsidRDefault="006518C4" w:rsidP="006518C4">
      <w:pPr>
        <w:pStyle w:val="Prrafodelista"/>
        <w:ind w:left="360"/>
      </w:pPr>
      <w:r>
        <w:t>¿Qué dice el ICAC al respecto?</w:t>
      </w:r>
    </w:p>
    <w:p w:rsidR="006518C4" w:rsidRDefault="006518C4" w:rsidP="006518C4">
      <w:pPr>
        <w:pStyle w:val="Prrafodelista"/>
        <w:ind w:left="360"/>
      </w:pPr>
      <w:r>
        <w:t>Establece que, tras las modificaciones introducidas por el Real Decreto-ley, que califica dichas pérdidas como gastos no deducibles, elimina esta expectativa de derecho e impone recalificar la diferencia como permanente.</w:t>
      </w:r>
    </w:p>
    <w:p w:rsidR="006518C4" w:rsidRDefault="006518C4" w:rsidP="006518C4">
      <w:pPr>
        <w:pStyle w:val="Prrafodelista"/>
        <w:ind w:left="360"/>
      </w:pPr>
    </w:p>
    <w:p w:rsidR="006518C4" w:rsidRDefault="006518C4" w:rsidP="006518C4">
      <w:pPr>
        <w:pStyle w:val="Prrafodelista"/>
        <w:ind w:left="360"/>
      </w:pPr>
      <w:r>
        <w:t xml:space="preserve">En consecuencia, deberán darse de baja los activos por impuesto diferido contabilizados por este concepto, salvo que la empresa espere que la diferencia revierta por causa de la extinción de la sociedad participada. </w:t>
      </w:r>
    </w:p>
    <w:p w:rsidR="006518C4" w:rsidRPr="006518C4" w:rsidRDefault="006518C4" w:rsidP="006518C4">
      <w:pPr>
        <w:pStyle w:val="Prrafodelista"/>
        <w:ind w:left="360"/>
      </w:pPr>
      <w:r>
        <w:t>Dicha baja deberá hacerse con la cuenta 633 (Ajustes negativos en la imposición sobre beneficios).</w:t>
      </w:r>
    </w:p>
    <w:sectPr w:rsidR="006518C4" w:rsidRPr="006518C4" w:rsidSect="00585AAA">
      <w:headerReference w:type="default" r:id="rId8"/>
      <w:footerReference w:type="default" r:id="rId9"/>
      <w:pgSz w:w="11906" w:h="16838"/>
      <w:pgMar w:top="293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0E" w:rsidRDefault="00461D0E" w:rsidP="003A064B">
      <w:r>
        <w:separator/>
      </w:r>
    </w:p>
  </w:endnote>
  <w:endnote w:type="continuationSeparator" w:id="0">
    <w:p w:rsidR="00461D0E" w:rsidRDefault="00461D0E" w:rsidP="003A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655482"/>
      <w:docPartObj>
        <w:docPartGallery w:val="Page Numbers (Bottom of Page)"/>
        <w:docPartUnique/>
      </w:docPartObj>
    </w:sdtPr>
    <w:sdtEndPr/>
    <w:sdtContent>
      <w:p w:rsidR="00585AAA" w:rsidRDefault="00585AAA">
        <w:pPr>
          <w:pStyle w:val="Piedepgina"/>
          <w:jc w:val="center"/>
        </w:pPr>
        <w:r>
          <w:t xml:space="preserve">- </w:t>
        </w:r>
        <w:r>
          <w:fldChar w:fldCharType="begin"/>
        </w:r>
        <w:r>
          <w:instrText>PAGE   \* MERGEFORMAT</w:instrText>
        </w:r>
        <w:r>
          <w:fldChar w:fldCharType="separate"/>
        </w:r>
        <w:r w:rsidR="002D6678">
          <w:rPr>
            <w:noProof/>
          </w:rPr>
          <w:t>1</w:t>
        </w:r>
        <w:r>
          <w:fldChar w:fldCharType="end"/>
        </w:r>
        <w:r>
          <w:t xml:space="preserve"> -</w:t>
        </w:r>
      </w:p>
    </w:sdtContent>
  </w:sdt>
  <w:p w:rsidR="001B6CAF" w:rsidRDefault="001B6CAF" w:rsidP="003A06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0E" w:rsidRDefault="00461D0E" w:rsidP="003A064B">
      <w:r>
        <w:separator/>
      </w:r>
    </w:p>
  </w:footnote>
  <w:footnote w:type="continuationSeparator" w:id="0">
    <w:p w:rsidR="00461D0E" w:rsidRDefault="00461D0E" w:rsidP="003A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AA" w:rsidRDefault="00585AAA">
    <w:pPr>
      <w:pStyle w:val="Encabezado"/>
    </w:pPr>
    <w:r>
      <w:rPr>
        <w:noProof/>
        <w:lang w:eastAsia="es-ES"/>
      </w:rPr>
      <w:drawing>
        <wp:anchor distT="0" distB="0" distL="114300" distR="114300" simplePos="0" relativeHeight="251659264" behindDoc="0" locked="0" layoutInCell="1" allowOverlap="1" wp14:anchorId="2DFFE05E" wp14:editId="4C4F4FD6">
          <wp:simplePos x="0" y="0"/>
          <wp:positionH relativeFrom="column">
            <wp:posOffset>1637665</wp:posOffset>
          </wp:positionH>
          <wp:positionV relativeFrom="paragraph">
            <wp:posOffset>-83820</wp:posOffset>
          </wp:positionV>
          <wp:extent cx="2134870" cy="1206500"/>
          <wp:effectExtent l="0" t="0" r="0" b="0"/>
          <wp:wrapSquare wrapText="bothSides"/>
          <wp:docPr id="2" name="Imagen 2" descr="C:\Users\mejora1\Desktop\Dropbox\MIS CARPETAS\5. WORDPRESSDELUXE\50. Proyectos\60. QuintanaFiscal\20. Diseño gráfico\10. Logos\Quintana_2T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jora1\Desktop\Dropbox\MIS CARPETAS\5. WORDPRESSDELUXE\50. Proyectos\60. QuintanaFiscal\20. Diseño gráfico\10. Logos\Quintana_2T_Positiv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4870"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966"/>
    <w:multiLevelType w:val="hybridMultilevel"/>
    <w:tmpl w:val="5CEAD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7C7D0E"/>
    <w:multiLevelType w:val="hybridMultilevel"/>
    <w:tmpl w:val="D1A067D4"/>
    <w:lvl w:ilvl="0" w:tplc="0C0A000F">
      <w:start w:val="1"/>
      <w:numFmt w:val="decimal"/>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6E127BE"/>
    <w:multiLevelType w:val="hybridMultilevel"/>
    <w:tmpl w:val="D1A067D4"/>
    <w:lvl w:ilvl="0" w:tplc="0C0A000F">
      <w:start w:val="1"/>
      <w:numFmt w:val="decimal"/>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0FCD63D1"/>
    <w:multiLevelType w:val="hybridMultilevel"/>
    <w:tmpl w:val="D1A067D4"/>
    <w:lvl w:ilvl="0" w:tplc="0C0A000F">
      <w:start w:val="1"/>
      <w:numFmt w:val="decimal"/>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12FD3577"/>
    <w:multiLevelType w:val="hybridMultilevel"/>
    <w:tmpl w:val="D1A067D4"/>
    <w:lvl w:ilvl="0" w:tplc="0C0A000F">
      <w:start w:val="1"/>
      <w:numFmt w:val="decimal"/>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229F76B5"/>
    <w:multiLevelType w:val="hybridMultilevel"/>
    <w:tmpl w:val="148246C6"/>
    <w:lvl w:ilvl="0" w:tplc="015CA2A4">
      <w:start w:val="87"/>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B8830F6"/>
    <w:multiLevelType w:val="hybridMultilevel"/>
    <w:tmpl w:val="FC5264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FE47BD8"/>
    <w:multiLevelType w:val="hybridMultilevel"/>
    <w:tmpl w:val="D1A067D4"/>
    <w:lvl w:ilvl="0" w:tplc="0C0A000F">
      <w:start w:val="1"/>
      <w:numFmt w:val="decimal"/>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310F4518"/>
    <w:multiLevelType w:val="hybridMultilevel"/>
    <w:tmpl w:val="4C20BE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511DD0"/>
    <w:multiLevelType w:val="hybridMultilevel"/>
    <w:tmpl w:val="8A485E8C"/>
    <w:lvl w:ilvl="0" w:tplc="900EFB0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6CB4807"/>
    <w:multiLevelType w:val="hybridMultilevel"/>
    <w:tmpl w:val="D1A067D4"/>
    <w:lvl w:ilvl="0" w:tplc="0C0A000F">
      <w:start w:val="1"/>
      <w:numFmt w:val="decimal"/>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49A752D3"/>
    <w:multiLevelType w:val="hybridMultilevel"/>
    <w:tmpl w:val="A7387FF4"/>
    <w:lvl w:ilvl="0" w:tplc="EC04D3FA">
      <w:start w:val="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900B90"/>
    <w:multiLevelType w:val="hybridMultilevel"/>
    <w:tmpl w:val="D1A067D4"/>
    <w:lvl w:ilvl="0" w:tplc="0C0A000F">
      <w:start w:val="1"/>
      <w:numFmt w:val="decimal"/>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521E092D"/>
    <w:multiLevelType w:val="hybridMultilevel"/>
    <w:tmpl w:val="D1A067D4"/>
    <w:lvl w:ilvl="0" w:tplc="0C0A000F">
      <w:start w:val="1"/>
      <w:numFmt w:val="decimal"/>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5C5E56C0"/>
    <w:multiLevelType w:val="hybridMultilevel"/>
    <w:tmpl w:val="93E68BE4"/>
    <w:lvl w:ilvl="0" w:tplc="1052853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DCB0B00"/>
    <w:multiLevelType w:val="hybridMultilevel"/>
    <w:tmpl w:val="6DF6F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D7405D"/>
    <w:multiLevelType w:val="hybridMultilevel"/>
    <w:tmpl w:val="E220A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472687"/>
    <w:multiLevelType w:val="hybridMultilevel"/>
    <w:tmpl w:val="D1A067D4"/>
    <w:lvl w:ilvl="0" w:tplc="0C0A000F">
      <w:start w:val="1"/>
      <w:numFmt w:val="decimal"/>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69343977"/>
    <w:multiLevelType w:val="hybridMultilevel"/>
    <w:tmpl w:val="9724EC0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9" w15:restartNumberingAfterBreak="0">
    <w:nsid w:val="69EC3DB4"/>
    <w:multiLevelType w:val="hybridMultilevel"/>
    <w:tmpl w:val="D0A4D3DA"/>
    <w:lvl w:ilvl="0" w:tplc="551C7174">
      <w:start w:val="87"/>
      <w:numFmt w:val="bullet"/>
      <w:lvlText w:val="-"/>
      <w:lvlJc w:val="left"/>
      <w:pPr>
        <w:ind w:left="502" w:hanging="360"/>
      </w:pPr>
      <w:rPr>
        <w:rFonts w:ascii="Calibri" w:eastAsiaTheme="minorHAnsi" w:hAnsi="Calibri" w:cstheme="minorBid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0" w15:restartNumberingAfterBreak="0">
    <w:nsid w:val="6D603ACC"/>
    <w:multiLevelType w:val="hybridMultilevel"/>
    <w:tmpl w:val="E68C2E76"/>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num w:numId="1">
    <w:abstractNumId w:val="0"/>
  </w:num>
  <w:num w:numId="2">
    <w:abstractNumId w:val="20"/>
  </w:num>
  <w:num w:numId="3">
    <w:abstractNumId w:val="16"/>
  </w:num>
  <w:num w:numId="4">
    <w:abstractNumId w:val="4"/>
  </w:num>
  <w:num w:numId="5">
    <w:abstractNumId w:val="8"/>
  </w:num>
  <w:num w:numId="6">
    <w:abstractNumId w:val="14"/>
  </w:num>
  <w:num w:numId="7">
    <w:abstractNumId w:val="9"/>
  </w:num>
  <w:num w:numId="8">
    <w:abstractNumId w:val="15"/>
  </w:num>
  <w:num w:numId="9">
    <w:abstractNumId w:val="11"/>
  </w:num>
  <w:num w:numId="10">
    <w:abstractNumId w:val="5"/>
  </w:num>
  <w:num w:numId="11">
    <w:abstractNumId w:val="19"/>
  </w:num>
  <w:num w:numId="12">
    <w:abstractNumId w:val="7"/>
  </w:num>
  <w:num w:numId="13">
    <w:abstractNumId w:val="2"/>
  </w:num>
  <w:num w:numId="14">
    <w:abstractNumId w:val="17"/>
  </w:num>
  <w:num w:numId="15">
    <w:abstractNumId w:val="13"/>
  </w:num>
  <w:num w:numId="16">
    <w:abstractNumId w:val="3"/>
  </w:num>
  <w:num w:numId="17">
    <w:abstractNumId w:val="1"/>
  </w:num>
  <w:num w:numId="18">
    <w:abstractNumId w:val="12"/>
  </w:num>
  <w:num w:numId="19">
    <w:abstractNumId w:val="10"/>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o:colormru v:ext="edit" colors="#0035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45"/>
    <w:rsid w:val="00005B30"/>
    <w:rsid w:val="00045640"/>
    <w:rsid w:val="000C161E"/>
    <w:rsid w:val="000C6D49"/>
    <w:rsid w:val="001438F2"/>
    <w:rsid w:val="00146C16"/>
    <w:rsid w:val="00147B37"/>
    <w:rsid w:val="0015300A"/>
    <w:rsid w:val="00160612"/>
    <w:rsid w:val="001809CD"/>
    <w:rsid w:val="001842A3"/>
    <w:rsid w:val="001B6CAF"/>
    <w:rsid w:val="001C448E"/>
    <w:rsid w:val="001C77E5"/>
    <w:rsid w:val="001D3FD2"/>
    <w:rsid w:val="00222AE9"/>
    <w:rsid w:val="00266CB4"/>
    <w:rsid w:val="002C0112"/>
    <w:rsid w:val="002D2AF1"/>
    <w:rsid w:val="002D6678"/>
    <w:rsid w:val="002E3116"/>
    <w:rsid w:val="002F00C9"/>
    <w:rsid w:val="002F45FA"/>
    <w:rsid w:val="00306645"/>
    <w:rsid w:val="00334CD7"/>
    <w:rsid w:val="00344E17"/>
    <w:rsid w:val="00345791"/>
    <w:rsid w:val="003621D2"/>
    <w:rsid w:val="003A064B"/>
    <w:rsid w:val="003C4A45"/>
    <w:rsid w:val="003D4376"/>
    <w:rsid w:val="003D5E19"/>
    <w:rsid w:val="004349B4"/>
    <w:rsid w:val="00461A9B"/>
    <w:rsid w:val="00461D0E"/>
    <w:rsid w:val="00465847"/>
    <w:rsid w:val="004A754A"/>
    <w:rsid w:val="004D19CB"/>
    <w:rsid w:val="004D5EB1"/>
    <w:rsid w:val="00513109"/>
    <w:rsid w:val="0053583D"/>
    <w:rsid w:val="005706D0"/>
    <w:rsid w:val="005726CB"/>
    <w:rsid w:val="005757F5"/>
    <w:rsid w:val="00585AAA"/>
    <w:rsid w:val="005A107A"/>
    <w:rsid w:val="005D06A6"/>
    <w:rsid w:val="005F21D7"/>
    <w:rsid w:val="0064141C"/>
    <w:rsid w:val="006518C4"/>
    <w:rsid w:val="00664372"/>
    <w:rsid w:val="00664438"/>
    <w:rsid w:val="00664E54"/>
    <w:rsid w:val="006C3454"/>
    <w:rsid w:val="007115FC"/>
    <w:rsid w:val="00711D96"/>
    <w:rsid w:val="007849AA"/>
    <w:rsid w:val="007E1354"/>
    <w:rsid w:val="00805F46"/>
    <w:rsid w:val="0085171D"/>
    <w:rsid w:val="008A72B5"/>
    <w:rsid w:val="008E3325"/>
    <w:rsid w:val="008F3201"/>
    <w:rsid w:val="008F37E1"/>
    <w:rsid w:val="008F74B9"/>
    <w:rsid w:val="009111A6"/>
    <w:rsid w:val="00942F64"/>
    <w:rsid w:val="00963722"/>
    <w:rsid w:val="00974411"/>
    <w:rsid w:val="009A7EB1"/>
    <w:rsid w:val="009B6219"/>
    <w:rsid w:val="009C7719"/>
    <w:rsid w:val="009E0DBC"/>
    <w:rsid w:val="00A1519A"/>
    <w:rsid w:val="00A3498D"/>
    <w:rsid w:val="00A6261B"/>
    <w:rsid w:val="00A70E2E"/>
    <w:rsid w:val="00A736C0"/>
    <w:rsid w:val="00B02459"/>
    <w:rsid w:val="00B61954"/>
    <w:rsid w:val="00B64E59"/>
    <w:rsid w:val="00B8331A"/>
    <w:rsid w:val="00BC1656"/>
    <w:rsid w:val="00C23C14"/>
    <w:rsid w:val="00C4347C"/>
    <w:rsid w:val="00C47387"/>
    <w:rsid w:val="00C74D19"/>
    <w:rsid w:val="00CB6AC0"/>
    <w:rsid w:val="00CC18AB"/>
    <w:rsid w:val="00CC6594"/>
    <w:rsid w:val="00CD7864"/>
    <w:rsid w:val="00CF4706"/>
    <w:rsid w:val="00D53703"/>
    <w:rsid w:val="00D60381"/>
    <w:rsid w:val="00D631D6"/>
    <w:rsid w:val="00E07BAF"/>
    <w:rsid w:val="00E23B09"/>
    <w:rsid w:val="00E32C24"/>
    <w:rsid w:val="00E419AB"/>
    <w:rsid w:val="00E91075"/>
    <w:rsid w:val="00EE6131"/>
    <w:rsid w:val="00EF2D4A"/>
    <w:rsid w:val="00F22A9A"/>
    <w:rsid w:val="00F32997"/>
    <w:rsid w:val="00F9652D"/>
    <w:rsid w:val="00FA533B"/>
    <w:rsid w:val="00FF24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3594"/>
    </o:shapedefaults>
    <o:shapelayout v:ext="edit">
      <o:idmap v:ext="edit" data="1"/>
    </o:shapelayout>
  </w:shapeDefaults>
  <w:decimalSymbol w:val=","/>
  <w:listSeparator w:val=";"/>
  <w14:docId w14:val="64ED4D94"/>
  <w15:docId w15:val="{36156468-3623-4F78-96B5-4DCE6685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064B"/>
    <w:rPr>
      <w:rFonts w:cs="Arial"/>
    </w:rPr>
  </w:style>
  <w:style w:type="paragraph" w:styleId="Ttulo1">
    <w:name w:val="heading 1"/>
    <w:basedOn w:val="Normal"/>
    <w:next w:val="Normal"/>
    <w:link w:val="Ttulo1Car"/>
    <w:uiPriority w:val="9"/>
    <w:qFormat/>
    <w:rsid w:val="003A064B"/>
    <w:pPr>
      <w:keepNext/>
      <w:keepLines/>
      <w:spacing w:before="480" w:after="120"/>
      <w:outlineLvl w:val="0"/>
    </w:pPr>
    <w:rPr>
      <w:rFonts w:eastAsiaTheme="majorEastAsia"/>
      <w:b/>
      <w:bCs/>
      <w:color w:val="000000" w:themeColor="text1"/>
      <w:sz w:val="36"/>
      <w:szCs w:val="28"/>
    </w:rPr>
  </w:style>
  <w:style w:type="paragraph" w:styleId="Ttulo2">
    <w:name w:val="heading 2"/>
    <w:basedOn w:val="Normal"/>
    <w:next w:val="Normal"/>
    <w:link w:val="Ttulo2Car"/>
    <w:uiPriority w:val="9"/>
    <w:unhideWhenUsed/>
    <w:qFormat/>
    <w:rsid w:val="003A064B"/>
    <w:pPr>
      <w:keepNext/>
      <w:keepLines/>
      <w:spacing w:before="200" w:after="120"/>
      <w:outlineLvl w:val="1"/>
    </w:pPr>
    <w:rPr>
      <w:rFonts w:eastAsiaTheme="majorEastAsia"/>
      <w:b/>
      <w:bCs/>
      <w:color w:val="000000" w:themeColor="text1"/>
      <w:sz w:val="32"/>
      <w:szCs w:val="26"/>
    </w:rPr>
  </w:style>
  <w:style w:type="paragraph" w:styleId="Ttulo3">
    <w:name w:val="heading 3"/>
    <w:basedOn w:val="Normal"/>
    <w:next w:val="Normal"/>
    <w:link w:val="Ttulo3Car"/>
    <w:uiPriority w:val="9"/>
    <w:unhideWhenUsed/>
    <w:qFormat/>
    <w:rsid w:val="003A064B"/>
    <w:pPr>
      <w:keepNext/>
      <w:keepLines/>
      <w:spacing w:before="200" w:after="120"/>
      <w:outlineLvl w:val="2"/>
    </w:pPr>
    <w:rPr>
      <w:rFonts w:eastAsiaTheme="majorEastAsia"/>
      <w:b/>
      <w:bCs/>
      <w:sz w:val="28"/>
    </w:rPr>
  </w:style>
  <w:style w:type="paragraph" w:styleId="Ttulo4">
    <w:name w:val="heading 4"/>
    <w:basedOn w:val="Normal"/>
    <w:next w:val="Normal"/>
    <w:link w:val="Ttulo4Car"/>
    <w:uiPriority w:val="9"/>
    <w:unhideWhenUsed/>
    <w:qFormat/>
    <w:rsid w:val="003A064B"/>
    <w:pPr>
      <w:keepNext/>
      <w:keepLines/>
      <w:spacing w:before="200" w:after="0"/>
      <w:outlineLvl w:val="3"/>
    </w:pPr>
    <w:rPr>
      <w:rFonts w:eastAsiaTheme="majorEastAsia"/>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4A45"/>
    <w:pPr>
      <w:tabs>
        <w:tab w:val="center" w:pos="4252"/>
        <w:tab w:val="right" w:pos="8504"/>
      </w:tabs>
      <w:spacing w:after="0"/>
    </w:pPr>
  </w:style>
  <w:style w:type="character" w:customStyle="1" w:styleId="EncabezadoCar">
    <w:name w:val="Encabezado Car"/>
    <w:basedOn w:val="Fuentedeprrafopredeter"/>
    <w:link w:val="Encabezado"/>
    <w:uiPriority w:val="99"/>
    <w:rsid w:val="003C4A45"/>
  </w:style>
  <w:style w:type="paragraph" w:styleId="Piedepgina">
    <w:name w:val="footer"/>
    <w:basedOn w:val="Normal"/>
    <w:link w:val="PiedepginaCar"/>
    <w:uiPriority w:val="99"/>
    <w:unhideWhenUsed/>
    <w:rsid w:val="003C4A45"/>
    <w:pPr>
      <w:tabs>
        <w:tab w:val="center" w:pos="4252"/>
        <w:tab w:val="right" w:pos="8504"/>
      </w:tabs>
      <w:spacing w:after="0"/>
    </w:pPr>
  </w:style>
  <w:style w:type="character" w:customStyle="1" w:styleId="PiedepginaCar">
    <w:name w:val="Pie de página Car"/>
    <w:basedOn w:val="Fuentedeprrafopredeter"/>
    <w:link w:val="Piedepgina"/>
    <w:uiPriority w:val="99"/>
    <w:rsid w:val="003C4A45"/>
  </w:style>
  <w:style w:type="paragraph" w:styleId="Textodeglobo">
    <w:name w:val="Balloon Text"/>
    <w:basedOn w:val="Normal"/>
    <w:link w:val="TextodegloboCar"/>
    <w:uiPriority w:val="99"/>
    <w:semiHidden/>
    <w:unhideWhenUsed/>
    <w:rsid w:val="003C4A4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A45"/>
    <w:rPr>
      <w:rFonts w:ascii="Tahoma" w:hAnsi="Tahoma" w:cs="Tahoma"/>
      <w:sz w:val="16"/>
      <w:szCs w:val="16"/>
    </w:rPr>
  </w:style>
  <w:style w:type="character" w:customStyle="1" w:styleId="Ttulo1Car">
    <w:name w:val="Título 1 Car"/>
    <w:basedOn w:val="Fuentedeprrafopredeter"/>
    <w:link w:val="Ttulo1"/>
    <w:uiPriority w:val="9"/>
    <w:rsid w:val="003A064B"/>
    <w:rPr>
      <w:rFonts w:eastAsiaTheme="majorEastAsia" w:cs="Arial"/>
      <w:b/>
      <w:bCs/>
      <w:color w:val="000000" w:themeColor="text1"/>
      <w:sz w:val="36"/>
      <w:szCs w:val="28"/>
    </w:rPr>
  </w:style>
  <w:style w:type="character" w:customStyle="1" w:styleId="Ttulo2Car">
    <w:name w:val="Título 2 Car"/>
    <w:basedOn w:val="Fuentedeprrafopredeter"/>
    <w:link w:val="Ttulo2"/>
    <w:uiPriority w:val="9"/>
    <w:rsid w:val="003A064B"/>
    <w:rPr>
      <w:rFonts w:eastAsiaTheme="majorEastAsia" w:cs="Arial"/>
      <w:b/>
      <w:bCs/>
      <w:color w:val="000000" w:themeColor="text1"/>
      <w:sz w:val="32"/>
      <w:szCs w:val="26"/>
    </w:rPr>
  </w:style>
  <w:style w:type="character" w:customStyle="1" w:styleId="Ttulo3Car">
    <w:name w:val="Título 3 Car"/>
    <w:basedOn w:val="Fuentedeprrafopredeter"/>
    <w:link w:val="Ttulo3"/>
    <w:uiPriority w:val="9"/>
    <w:rsid w:val="003A064B"/>
    <w:rPr>
      <w:rFonts w:eastAsiaTheme="majorEastAsia" w:cs="Arial"/>
      <w:b/>
      <w:bCs/>
      <w:sz w:val="28"/>
    </w:rPr>
  </w:style>
  <w:style w:type="character" w:customStyle="1" w:styleId="Ttulo4Car">
    <w:name w:val="Título 4 Car"/>
    <w:basedOn w:val="Fuentedeprrafopredeter"/>
    <w:link w:val="Ttulo4"/>
    <w:uiPriority w:val="9"/>
    <w:rsid w:val="003A064B"/>
    <w:rPr>
      <w:rFonts w:eastAsiaTheme="majorEastAsia" w:cs="Arial"/>
      <w:b/>
      <w:bCs/>
      <w:i/>
      <w:iCs/>
      <w:sz w:val="28"/>
    </w:rPr>
  </w:style>
  <w:style w:type="paragraph" w:styleId="Sinespaciado">
    <w:name w:val="No Spacing"/>
    <w:uiPriority w:val="1"/>
    <w:qFormat/>
    <w:rsid w:val="003D5E19"/>
    <w:pPr>
      <w:spacing w:after="0"/>
    </w:pPr>
    <w:rPr>
      <w:rFonts w:ascii="Arial" w:hAnsi="Arial" w:cs="Arial"/>
    </w:rPr>
  </w:style>
  <w:style w:type="character" w:styleId="nfasissutil">
    <w:name w:val="Subtle Emphasis"/>
    <w:basedOn w:val="Fuentedeprrafopredeter"/>
    <w:uiPriority w:val="19"/>
    <w:qFormat/>
    <w:rsid w:val="003D5E19"/>
    <w:rPr>
      <w:i/>
      <w:iCs/>
      <w:color w:val="808080" w:themeColor="text1" w:themeTint="7F"/>
    </w:rPr>
  </w:style>
  <w:style w:type="paragraph" w:styleId="Subttulo">
    <w:name w:val="Subtitle"/>
    <w:basedOn w:val="Normal"/>
    <w:next w:val="Normal"/>
    <w:link w:val="SubttuloCar"/>
    <w:uiPriority w:val="11"/>
    <w:qFormat/>
    <w:rsid w:val="00585AAA"/>
    <w:pPr>
      <w:numPr>
        <w:ilvl w:val="1"/>
      </w:numPr>
      <w:jc w:val="center"/>
    </w:pPr>
    <w:rPr>
      <w:rFonts w:eastAsiaTheme="majorEastAsia"/>
      <w:b/>
      <w:iCs/>
      <w:spacing w:val="15"/>
      <w:sz w:val="32"/>
      <w:szCs w:val="24"/>
    </w:rPr>
  </w:style>
  <w:style w:type="character" w:customStyle="1" w:styleId="SubttuloCar">
    <w:name w:val="Subtítulo Car"/>
    <w:basedOn w:val="Fuentedeprrafopredeter"/>
    <w:link w:val="Subttulo"/>
    <w:uiPriority w:val="11"/>
    <w:rsid w:val="00585AAA"/>
    <w:rPr>
      <w:rFonts w:eastAsiaTheme="majorEastAsia" w:cs="Arial"/>
      <w:b/>
      <w:iCs/>
      <w:spacing w:val="15"/>
      <w:sz w:val="32"/>
      <w:szCs w:val="24"/>
    </w:rPr>
  </w:style>
  <w:style w:type="paragraph" w:styleId="Ttulo">
    <w:name w:val="Title"/>
    <w:basedOn w:val="Normal"/>
    <w:next w:val="Normal"/>
    <w:link w:val="TtuloCar"/>
    <w:uiPriority w:val="10"/>
    <w:qFormat/>
    <w:rsid w:val="00585AAA"/>
    <w:pPr>
      <w:spacing w:after="300"/>
      <w:contextualSpacing/>
      <w:jc w:val="center"/>
    </w:pPr>
    <w:rPr>
      <w:rFonts w:eastAsiaTheme="majorEastAsia"/>
      <w:b/>
      <w:spacing w:val="5"/>
      <w:kern w:val="28"/>
      <w:sz w:val="44"/>
      <w:szCs w:val="52"/>
    </w:rPr>
  </w:style>
  <w:style w:type="character" w:customStyle="1" w:styleId="TtuloCar">
    <w:name w:val="Título Car"/>
    <w:basedOn w:val="Fuentedeprrafopredeter"/>
    <w:link w:val="Ttulo"/>
    <w:uiPriority w:val="10"/>
    <w:rsid w:val="00585AAA"/>
    <w:rPr>
      <w:rFonts w:eastAsiaTheme="majorEastAsia" w:cs="Arial"/>
      <w:b/>
      <w:spacing w:val="5"/>
      <w:kern w:val="28"/>
      <w:sz w:val="44"/>
      <w:szCs w:val="52"/>
    </w:rPr>
  </w:style>
  <w:style w:type="character" w:styleId="Hipervnculo">
    <w:name w:val="Hyperlink"/>
    <w:uiPriority w:val="99"/>
    <w:unhideWhenUsed/>
    <w:rsid w:val="00CC18AB"/>
    <w:rPr>
      <w:rFonts w:cs="Arial"/>
      <w:color w:val="0000FF"/>
      <w:u w:val="single"/>
    </w:rPr>
  </w:style>
  <w:style w:type="paragraph" w:styleId="TDC1">
    <w:name w:val="toc 1"/>
    <w:basedOn w:val="Normal"/>
    <w:next w:val="Normal"/>
    <w:autoRedefine/>
    <w:uiPriority w:val="39"/>
    <w:unhideWhenUsed/>
    <w:rsid w:val="00CC18AB"/>
    <w:pPr>
      <w:tabs>
        <w:tab w:val="right" w:leader="dot" w:pos="8505"/>
      </w:tabs>
      <w:spacing w:after="120" w:line="264" w:lineRule="auto"/>
      <w:jc w:val="both"/>
    </w:pPr>
    <w:rPr>
      <w:rFonts w:eastAsiaTheme="majorEastAsia" w:cs="Times New Roman"/>
      <w:b/>
      <w:noProof/>
      <w:color w:val="000000" w:themeColor="text1"/>
      <w:sz w:val="20"/>
      <w:szCs w:val="20"/>
      <w:lang w:eastAsia="es-ES_tradnl"/>
    </w:rPr>
  </w:style>
  <w:style w:type="paragraph" w:styleId="TDC2">
    <w:name w:val="toc 2"/>
    <w:basedOn w:val="Normal"/>
    <w:next w:val="Normal"/>
    <w:autoRedefine/>
    <w:uiPriority w:val="39"/>
    <w:unhideWhenUsed/>
    <w:rsid w:val="005F21D7"/>
    <w:pPr>
      <w:tabs>
        <w:tab w:val="left" w:pos="397"/>
        <w:tab w:val="right" w:leader="dot" w:pos="8505"/>
      </w:tabs>
      <w:spacing w:after="120" w:line="264" w:lineRule="auto"/>
      <w:ind w:left="284"/>
      <w:jc w:val="both"/>
    </w:pPr>
    <w:rPr>
      <w:rFonts w:eastAsiaTheme="majorEastAsia" w:cs="Times New Roman"/>
      <w:b/>
      <w:noProof/>
      <w:sz w:val="20"/>
      <w:szCs w:val="20"/>
      <w:lang w:eastAsia="es-ES_tradnl"/>
    </w:rPr>
  </w:style>
  <w:style w:type="paragraph" w:styleId="TDC3">
    <w:name w:val="toc 3"/>
    <w:basedOn w:val="Normal"/>
    <w:next w:val="Normal"/>
    <w:autoRedefine/>
    <w:uiPriority w:val="39"/>
    <w:unhideWhenUsed/>
    <w:rsid w:val="005F21D7"/>
    <w:pPr>
      <w:tabs>
        <w:tab w:val="right" w:leader="dot" w:pos="8505"/>
      </w:tabs>
      <w:spacing w:after="100"/>
      <w:ind w:left="440"/>
    </w:pPr>
    <w:rPr>
      <w:noProof/>
      <w:sz w:val="20"/>
    </w:rPr>
  </w:style>
  <w:style w:type="paragraph" w:styleId="Prrafodelista">
    <w:name w:val="List Paragraph"/>
    <w:basedOn w:val="Normal"/>
    <w:uiPriority w:val="34"/>
    <w:qFormat/>
    <w:rsid w:val="00CF4706"/>
    <w:pPr>
      <w:spacing w:after="0"/>
      <w:ind w:left="720"/>
      <w:contextualSpacing/>
      <w:jc w:val="both"/>
    </w:pPr>
    <w:rPr>
      <w:rFonts w:cstheme="minorBidi"/>
    </w:rPr>
  </w:style>
  <w:style w:type="paragraph" w:customStyle="1" w:styleId="Default">
    <w:name w:val="Default"/>
    <w:rsid w:val="00CF4706"/>
    <w:pPr>
      <w:autoSpaceDE w:val="0"/>
      <w:autoSpaceDN w:val="0"/>
      <w:adjustRightInd w:val="0"/>
      <w:spacing w:after="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3630">
      <w:bodyDiv w:val="1"/>
      <w:marLeft w:val="0"/>
      <w:marRight w:val="0"/>
      <w:marTop w:val="0"/>
      <w:marBottom w:val="0"/>
      <w:divBdr>
        <w:top w:val="none" w:sz="0" w:space="0" w:color="auto"/>
        <w:left w:val="none" w:sz="0" w:space="0" w:color="auto"/>
        <w:bottom w:val="none" w:sz="0" w:space="0" w:color="auto"/>
        <w:right w:val="none" w:sz="0" w:space="0" w:color="auto"/>
      </w:divBdr>
    </w:div>
    <w:div w:id="555045739">
      <w:bodyDiv w:val="1"/>
      <w:marLeft w:val="0"/>
      <w:marRight w:val="0"/>
      <w:marTop w:val="0"/>
      <w:marBottom w:val="0"/>
      <w:divBdr>
        <w:top w:val="none" w:sz="0" w:space="0" w:color="auto"/>
        <w:left w:val="none" w:sz="0" w:space="0" w:color="auto"/>
        <w:bottom w:val="none" w:sz="0" w:space="0" w:color="auto"/>
        <w:right w:val="none" w:sz="0" w:space="0" w:color="auto"/>
      </w:divBdr>
    </w:div>
    <w:div w:id="1363090066">
      <w:bodyDiv w:val="1"/>
      <w:marLeft w:val="0"/>
      <w:marRight w:val="0"/>
      <w:marTop w:val="0"/>
      <w:marBottom w:val="0"/>
      <w:divBdr>
        <w:top w:val="none" w:sz="0" w:space="0" w:color="auto"/>
        <w:left w:val="none" w:sz="0" w:space="0" w:color="auto"/>
        <w:bottom w:val="none" w:sz="0" w:space="0" w:color="auto"/>
        <w:right w:val="none" w:sz="0" w:space="0" w:color="auto"/>
      </w:divBdr>
    </w:div>
    <w:div w:id="1541894375">
      <w:bodyDiv w:val="1"/>
      <w:marLeft w:val="0"/>
      <w:marRight w:val="0"/>
      <w:marTop w:val="0"/>
      <w:marBottom w:val="0"/>
      <w:divBdr>
        <w:top w:val="none" w:sz="0" w:space="0" w:color="auto"/>
        <w:left w:val="none" w:sz="0" w:space="0" w:color="auto"/>
        <w:bottom w:val="none" w:sz="0" w:space="0" w:color="auto"/>
        <w:right w:val="none" w:sz="0" w:space="0" w:color="auto"/>
      </w:divBdr>
    </w:div>
    <w:div w:id="1896424703">
      <w:bodyDiv w:val="1"/>
      <w:marLeft w:val="0"/>
      <w:marRight w:val="0"/>
      <w:marTop w:val="0"/>
      <w:marBottom w:val="0"/>
      <w:divBdr>
        <w:top w:val="none" w:sz="0" w:space="0" w:color="auto"/>
        <w:left w:val="none" w:sz="0" w:space="0" w:color="auto"/>
        <w:bottom w:val="none" w:sz="0" w:space="0" w:color="auto"/>
        <w:right w:val="none" w:sz="0" w:space="0" w:color="auto"/>
      </w:divBdr>
    </w:div>
    <w:div w:id="202227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5E38-B2B5-4993-BE09-F94B4F9D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733</Words>
  <Characters>4033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Mario Murillo - QA Asesores</cp:lastModifiedBy>
  <cp:revision>7</cp:revision>
  <cp:lastPrinted>2017-03-01T11:15:00Z</cp:lastPrinted>
  <dcterms:created xsi:type="dcterms:W3CDTF">2017-03-01T10:24:00Z</dcterms:created>
  <dcterms:modified xsi:type="dcterms:W3CDTF">2017-03-02T08:35:00Z</dcterms:modified>
</cp:coreProperties>
</file>